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2A3F27">
        <w:rPr>
          <w:b/>
        </w:rPr>
        <w:t>7</w:t>
      </w:r>
      <w:r w:rsidR="00F24BDF">
        <w:rPr>
          <w:b/>
        </w:rPr>
        <w:t>1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F24BDF" w:rsidRDefault="00F24BDF" w:rsidP="00F24BDF">
      <w:pPr>
        <w:jc w:val="center"/>
        <w:rPr>
          <w:b/>
          <w:bCs/>
        </w:rPr>
      </w:pPr>
      <w:r w:rsidRPr="00302A56">
        <w:rPr>
          <w:b/>
          <w:bCs/>
        </w:rPr>
        <w:t xml:space="preserve">Az </w:t>
      </w:r>
      <w:r>
        <w:rPr>
          <w:b/>
          <w:bCs/>
        </w:rPr>
        <w:t>önkormányzat intézményeiben 2024</w:t>
      </w:r>
      <w:r w:rsidRPr="00302A56">
        <w:rPr>
          <w:b/>
          <w:bCs/>
        </w:rPr>
        <w:t>. évben alkalmazott étkezési nyersanyagnormák megállapításáról</w:t>
      </w:r>
    </w:p>
    <w:p w:rsidR="00F24BDF" w:rsidRPr="00302A56" w:rsidRDefault="00F24BDF" w:rsidP="00F24BDF">
      <w:pPr>
        <w:jc w:val="center"/>
        <w:rPr>
          <w:b/>
          <w:bCs/>
        </w:rPr>
      </w:pPr>
      <w:bookmarkStart w:id="0" w:name="_GoBack"/>
      <w:bookmarkEnd w:id="0"/>
    </w:p>
    <w:p w:rsidR="00F24BDF" w:rsidRPr="00302A56" w:rsidRDefault="00F24BDF" w:rsidP="00F24BDF"/>
    <w:p w:rsidR="00F24BDF" w:rsidRPr="00302A56" w:rsidRDefault="00F24BDF" w:rsidP="00F24BDF">
      <w:pPr>
        <w:rPr>
          <w:b/>
        </w:rPr>
      </w:pPr>
      <w:r w:rsidRPr="00302A56">
        <w:rPr>
          <w:b/>
        </w:rPr>
        <w:t>A Képviselő-testület</w:t>
      </w:r>
    </w:p>
    <w:p w:rsidR="00F24BDF" w:rsidRPr="00302A56" w:rsidRDefault="00F24BDF" w:rsidP="00F24BDF"/>
    <w:p w:rsidR="00F24BDF" w:rsidRPr="00302A56" w:rsidRDefault="00F24BDF" w:rsidP="00F24BDF">
      <w:pPr>
        <w:numPr>
          <w:ilvl w:val="0"/>
          <w:numId w:val="18"/>
        </w:numPr>
        <w:jc w:val="both"/>
      </w:pPr>
      <w:r w:rsidRPr="00302A56">
        <w:t xml:space="preserve">megtárgyalta az </w:t>
      </w:r>
      <w:r>
        <w:rPr>
          <w:bCs/>
        </w:rPr>
        <w:t>önkormányzat intézményeiben 2024</w:t>
      </w:r>
      <w:r w:rsidRPr="00302A56">
        <w:rPr>
          <w:bCs/>
        </w:rPr>
        <w:t>. évben alkalmazott étkezési</w:t>
      </w:r>
      <w:r w:rsidRPr="00302A56">
        <w:t xml:space="preserve"> nyersanyagnormák megállapításáról szóló előterjesztést.</w:t>
      </w:r>
    </w:p>
    <w:p w:rsidR="00F24BDF" w:rsidRPr="00302A56" w:rsidRDefault="00F24BDF" w:rsidP="00F24BDF">
      <w:pPr>
        <w:ind w:left="360"/>
      </w:pPr>
    </w:p>
    <w:p w:rsidR="00F24BDF" w:rsidRPr="00302A56" w:rsidRDefault="00F24BDF" w:rsidP="00F24BDF">
      <w:pPr>
        <w:numPr>
          <w:ilvl w:val="0"/>
          <w:numId w:val="18"/>
        </w:numPr>
        <w:jc w:val="both"/>
      </w:pPr>
      <w:r>
        <w:t>m</w:t>
      </w:r>
      <w:r w:rsidRPr="00302A56">
        <w:t xml:space="preserve">egállapítja, hogy az iskolai, óvodai és bölcsődei étkeztetést </w:t>
      </w:r>
      <w:r>
        <w:t xml:space="preserve">a Dombrád és Térsége Szociális Alapszolgáltatási Központ Főzőkonyhája keretében </w:t>
      </w:r>
      <w:r w:rsidRPr="00302A56">
        <w:t>biztosítja.</w:t>
      </w:r>
    </w:p>
    <w:p w:rsidR="00F24BDF" w:rsidRPr="00302A56" w:rsidRDefault="00F24BDF" w:rsidP="00F24BDF">
      <w:pPr>
        <w:jc w:val="both"/>
      </w:pPr>
    </w:p>
    <w:p w:rsidR="00F24BDF" w:rsidRPr="00302A56" w:rsidRDefault="00F24BDF" w:rsidP="00F24BDF">
      <w:pPr>
        <w:numPr>
          <w:ilvl w:val="0"/>
          <w:numId w:val="18"/>
        </w:numPr>
        <w:jc w:val="both"/>
      </w:pPr>
      <w:r w:rsidRPr="00302A56">
        <w:t xml:space="preserve">      </w:t>
      </w:r>
      <w:proofErr w:type="gramStart"/>
      <w:r w:rsidRPr="00302A56">
        <w:t>a.</w:t>
      </w:r>
      <w:proofErr w:type="gramEnd"/>
      <w:r w:rsidRPr="00302A56">
        <w:t xml:space="preserve"> Nyersanyagnorma:</w:t>
      </w:r>
    </w:p>
    <w:p w:rsidR="00F24BDF" w:rsidRPr="00302A56" w:rsidRDefault="00F24BDF" w:rsidP="00F24BDF">
      <w:pPr>
        <w:ind w:left="360"/>
        <w:jc w:val="both"/>
      </w:pPr>
    </w:p>
    <w:tbl>
      <w:tblPr>
        <w:tblStyle w:val="Rcsostblzat"/>
        <w:tblW w:w="0" w:type="auto"/>
        <w:jc w:val="center"/>
        <w:tblLook w:val="01E0" w:firstRow="1" w:lastRow="1" w:firstColumn="1" w:lastColumn="1" w:noHBand="0" w:noVBand="0"/>
      </w:tblPr>
      <w:tblGrid>
        <w:gridCol w:w="3070"/>
        <w:gridCol w:w="3071"/>
      </w:tblGrid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Pr="00302A56">
              <w:rPr>
                <w:b/>
              </w:rPr>
              <w:t xml:space="preserve">. évi </w:t>
            </w:r>
            <w:r>
              <w:rPr>
                <w:b/>
              </w:rPr>
              <w:t>nyersanyagnorma (Ft) ÁFA nélkül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 w:rsidRPr="00302A56">
              <w:rPr>
                <w:b/>
              </w:rPr>
              <w:t>Reggeli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rPr>
                <w:b/>
              </w:rPr>
            </w:pPr>
            <w:r w:rsidRPr="00302A56">
              <w:t>Bölcsődés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 w:rsidRPr="00302A56">
              <w:rPr>
                <w:b/>
              </w:rPr>
              <w:t>Tízórai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  <w:color w:val="FF0000"/>
              </w:rPr>
            </w:pP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both"/>
            </w:pPr>
            <w:r w:rsidRPr="00302A56">
              <w:t>Napközis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both"/>
            </w:pPr>
            <w:r w:rsidRPr="00302A56">
              <w:t>Óvodai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both"/>
            </w:pPr>
            <w:r w:rsidRPr="00302A56">
              <w:t>Bölcsődés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 w:rsidRPr="00302A56">
              <w:rPr>
                <w:b/>
              </w:rPr>
              <w:t>Ebéd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  <w:color w:val="FF0000"/>
              </w:rPr>
            </w:pP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r w:rsidRPr="00302A56">
              <w:t>Napközis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r w:rsidRPr="00302A56">
              <w:t>Menza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340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r w:rsidRPr="00302A56">
              <w:t>Óvodás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r w:rsidRPr="00302A56">
              <w:t>Bölcsődés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 w:rsidRPr="00302A56">
              <w:rPr>
                <w:b/>
              </w:rPr>
              <w:t>Uzsonna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  <w:color w:val="FF0000"/>
              </w:rPr>
            </w:pP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r w:rsidRPr="00302A56">
              <w:t>Óvoda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r w:rsidRPr="00302A56">
              <w:t>Bölcsődés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</w:tr>
      <w:tr w:rsidR="00F24BDF" w:rsidRPr="00302A56" w:rsidTr="00B732B9">
        <w:trPr>
          <w:jc w:val="center"/>
        </w:trPr>
        <w:tc>
          <w:tcPr>
            <w:tcW w:w="3070" w:type="dxa"/>
          </w:tcPr>
          <w:p w:rsidR="00F24BDF" w:rsidRPr="00302A56" w:rsidRDefault="00F24BDF" w:rsidP="00B732B9">
            <w:r w:rsidRPr="00302A56">
              <w:t>Iskola gyermek</w:t>
            </w:r>
          </w:p>
        </w:tc>
        <w:tc>
          <w:tcPr>
            <w:tcW w:w="3071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</w:tr>
    </w:tbl>
    <w:p w:rsidR="00F24BDF" w:rsidRPr="00302A56" w:rsidRDefault="00F24BDF" w:rsidP="00F24BDF">
      <w:pPr>
        <w:jc w:val="both"/>
      </w:pPr>
    </w:p>
    <w:p w:rsidR="00F24BDF" w:rsidRPr="00302A56" w:rsidRDefault="00F24BDF" w:rsidP="00F24BDF">
      <w:pPr>
        <w:ind w:left="1260" w:hanging="1260"/>
        <w:jc w:val="both"/>
      </w:pPr>
      <w:r w:rsidRPr="00302A56">
        <w:t xml:space="preserve">                        b.   </w:t>
      </w:r>
      <w:r>
        <w:t>A továbbhárított rezsi mértéke</w:t>
      </w:r>
      <w:r w:rsidRPr="00302A56">
        <w:t xml:space="preserve">: bölcsőde, óvoda </w:t>
      </w:r>
      <w:proofErr w:type="gramStart"/>
      <w:r w:rsidRPr="00302A56">
        <w:t xml:space="preserve">és  </w:t>
      </w:r>
      <w:r w:rsidRPr="00302A56">
        <w:br/>
        <w:t xml:space="preserve">           iskola</w:t>
      </w:r>
      <w:proofErr w:type="gramEnd"/>
      <w:r w:rsidRPr="00302A56">
        <w:t xml:space="preserve"> esetén 80 %</w:t>
      </w:r>
    </w:p>
    <w:p w:rsidR="00F24BDF" w:rsidRPr="00302A56" w:rsidRDefault="00F24BDF" w:rsidP="00F24BDF">
      <w:pPr>
        <w:ind w:left="3528" w:firstLine="1008"/>
        <w:jc w:val="both"/>
        <w:rPr>
          <w:sz w:val="16"/>
          <w:szCs w:val="16"/>
        </w:rPr>
      </w:pPr>
    </w:p>
    <w:p w:rsidR="00F24BDF" w:rsidRPr="00302A56" w:rsidRDefault="00F24BDF" w:rsidP="00F24BDF">
      <w:pPr>
        <w:numPr>
          <w:ilvl w:val="0"/>
          <w:numId w:val="18"/>
        </w:numPr>
        <w:jc w:val="both"/>
      </w:pPr>
      <w:r w:rsidRPr="00302A56">
        <w:t xml:space="preserve">      </w:t>
      </w:r>
      <w:proofErr w:type="gramStart"/>
      <w:r w:rsidRPr="00302A56">
        <w:t>a.</w:t>
      </w:r>
      <w:proofErr w:type="gramEnd"/>
      <w:r w:rsidRPr="00302A56">
        <w:t xml:space="preserve"> A szociális étkeztetés esetében a nyersanyagnorma az alábbiak </w:t>
      </w:r>
      <w:proofErr w:type="gramStart"/>
      <w:r w:rsidRPr="00302A56">
        <w:t xml:space="preserve">szerint  </w:t>
      </w:r>
      <w:r w:rsidRPr="00302A56">
        <w:br/>
        <w:t xml:space="preserve">           alakul</w:t>
      </w:r>
      <w:proofErr w:type="gramEnd"/>
      <w:r w:rsidRPr="00302A56">
        <w:t>:</w:t>
      </w:r>
    </w:p>
    <w:p w:rsidR="00F24BDF" w:rsidRPr="00302A56" w:rsidRDefault="00F24BDF" w:rsidP="00F24BDF">
      <w:pPr>
        <w:jc w:val="both"/>
        <w:rPr>
          <w:sz w:val="16"/>
          <w:szCs w:val="16"/>
        </w:rPr>
      </w:pPr>
    </w:p>
    <w:tbl>
      <w:tblPr>
        <w:tblStyle w:val="Rcsostblzat"/>
        <w:tblW w:w="0" w:type="auto"/>
        <w:tblInd w:w="1548" w:type="dxa"/>
        <w:tblLook w:val="01E0" w:firstRow="1" w:lastRow="1" w:firstColumn="1" w:lastColumn="1" w:noHBand="0" w:noVBand="0"/>
      </w:tblPr>
      <w:tblGrid>
        <w:gridCol w:w="3058"/>
        <w:gridCol w:w="3062"/>
      </w:tblGrid>
      <w:tr w:rsidR="00F24BDF" w:rsidRPr="00302A56" w:rsidTr="00B732B9">
        <w:tc>
          <w:tcPr>
            <w:tcW w:w="3058" w:type="dxa"/>
          </w:tcPr>
          <w:p w:rsidR="00F24BDF" w:rsidRPr="00302A56" w:rsidRDefault="00F24BDF" w:rsidP="00B732B9">
            <w:pPr>
              <w:jc w:val="both"/>
            </w:pPr>
            <w:r w:rsidRPr="00302A56">
              <w:t xml:space="preserve">          </w:t>
            </w:r>
          </w:p>
        </w:tc>
        <w:tc>
          <w:tcPr>
            <w:tcW w:w="3062" w:type="dxa"/>
          </w:tcPr>
          <w:p w:rsidR="00F24BDF" w:rsidRPr="00302A56" w:rsidRDefault="00F24BDF" w:rsidP="00B732B9">
            <w:pPr>
              <w:jc w:val="center"/>
            </w:pPr>
            <w:r>
              <w:rPr>
                <w:b/>
              </w:rPr>
              <w:t>2024</w:t>
            </w:r>
            <w:r w:rsidRPr="00302A56">
              <w:rPr>
                <w:b/>
              </w:rPr>
              <w:t>. évi nyersanyagnorma (Ft) ÁFA nélkül</w:t>
            </w:r>
          </w:p>
        </w:tc>
      </w:tr>
      <w:tr w:rsidR="00F24BDF" w:rsidRPr="00302A56" w:rsidTr="00B732B9">
        <w:tc>
          <w:tcPr>
            <w:tcW w:w="3058" w:type="dxa"/>
          </w:tcPr>
          <w:p w:rsidR="00F24BDF" w:rsidRPr="00302A56" w:rsidRDefault="00F24BDF" w:rsidP="00B732B9">
            <w:pPr>
              <w:jc w:val="both"/>
            </w:pPr>
            <w:r>
              <w:t>E</w:t>
            </w:r>
            <w:r w:rsidRPr="00F93F39">
              <w:t>béd</w:t>
            </w:r>
          </w:p>
        </w:tc>
        <w:tc>
          <w:tcPr>
            <w:tcW w:w="3062" w:type="dxa"/>
          </w:tcPr>
          <w:p w:rsidR="00F24BDF" w:rsidRPr="00302A56" w:rsidRDefault="00F24BDF" w:rsidP="00B732B9">
            <w:pPr>
              <w:jc w:val="center"/>
              <w:rPr>
                <w:b/>
              </w:rPr>
            </w:pPr>
            <w:r>
              <w:rPr>
                <w:b/>
              </w:rPr>
              <w:t>438</w:t>
            </w:r>
          </w:p>
        </w:tc>
      </w:tr>
    </w:tbl>
    <w:p w:rsidR="00F24BDF" w:rsidRPr="00302A56" w:rsidRDefault="00F24BDF" w:rsidP="00F24BDF">
      <w:pPr>
        <w:ind w:left="360"/>
      </w:pPr>
      <w:r w:rsidRPr="00302A56">
        <w:t xml:space="preserve">    </w:t>
      </w:r>
      <w:r w:rsidRPr="00302A56">
        <w:tab/>
      </w:r>
      <w:r w:rsidRPr="00302A56">
        <w:tab/>
      </w:r>
    </w:p>
    <w:p w:rsidR="00F24BDF" w:rsidRDefault="00F24BDF" w:rsidP="00F24BDF">
      <w:pPr>
        <w:ind w:left="732" w:firstLine="684"/>
      </w:pPr>
      <w:r w:rsidRPr="00302A56">
        <w:t>b. A rezsi mértéke 80 %.</w:t>
      </w:r>
    </w:p>
    <w:p w:rsidR="00F24BDF" w:rsidRDefault="00F24BDF" w:rsidP="00F24BDF">
      <w:pPr>
        <w:ind w:left="1980"/>
      </w:pPr>
    </w:p>
    <w:p w:rsidR="00F24BDF" w:rsidRPr="00302A56" w:rsidRDefault="00F24BDF" w:rsidP="00F24BDF">
      <w:pPr>
        <w:ind w:left="1980"/>
      </w:pPr>
    </w:p>
    <w:p w:rsidR="00F24BDF" w:rsidRDefault="00F24BDF" w:rsidP="00F24BDF">
      <w:pPr>
        <w:numPr>
          <w:ilvl w:val="0"/>
          <w:numId w:val="18"/>
        </w:numPr>
        <w:jc w:val="both"/>
      </w:pPr>
      <w:r w:rsidRPr="00302A56">
        <w:t>a gyermekétkeztetés esetén a személyi térítési díjat az intézményvezető állapítja meg a nyersanyagnorma és a mindenkor hatályban lévő ÁFA kulcsok szorzatában a helyi szociális- és a gyermekvédelmi rendeletekben szabályozottakat figyelembe véve.</w:t>
      </w:r>
    </w:p>
    <w:p w:rsidR="00F24BDF" w:rsidRPr="006955FF" w:rsidRDefault="00F24BDF" w:rsidP="00F24BDF">
      <w:pPr>
        <w:ind w:left="1080"/>
        <w:jc w:val="both"/>
      </w:pPr>
    </w:p>
    <w:p w:rsidR="00F24BDF" w:rsidRPr="00302A56" w:rsidRDefault="00F24BDF" w:rsidP="00F24BDF">
      <w:pPr>
        <w:numPr>
          <w:ilvl w:val="0"/>
          <w:numId w:val="18"/>
        </w:numPr>
        <w:jc w:val="both"/>
      </w:pPr>
      <w:r w:rsidRPr="00302A56">
        <w:t xml:space="preserve">kijelenti, hogy </w:t>
      </w:r>
      <w:r>
        <w:t>a Főzőkonyha a</w:t>
      </w:r>
      <w:r w:rsidRPr="00302A56">
        <w:t xml:space="preserve"> közétkeztetésre vonatkozó táplálkozás-egészségügyi előírásokról szóló 37/2014. (IV.30.) EMMI rendeletben meghatározottak alapján végzi.</w:t>
      </w:r>
    </w:p>
    <w:p w:rsidR="00F24BDF" w:rsidRPr="00302A56" w:rsidRDefault="00F24BDF" w:rsidP="00F24BDF">
      <w:pPr>
        <w:jc w:val="both"/>
      </w:pPr>
    </w:p>
    <w:p w:rsidR="00F24BDF" w:rsidRPr="00302A56" w:rsidRDefault="00F24BDF" w:rsidP="00F24BDF">
      <w:pPr>
        <w:numPr>
          <w:ilvl w:val="0"/>
          <w:numId w:val="18"/>
        </w:numPr>
        <w:jc w:val="both"/>
      </w:pPr>
      <w:r>
        <w:t>A 3. – 5</w:t>
      </w:r>
      <w:r w:rsidRPr="00302A56">
        <w:t xml:space="preserve">. pontban leírtak </w:t>
      </w:r>
      <w:r>
        <w:t>2024</w:t>
      </w:r>
      <w:r w:rsidRPr="00302A56">
        <w:t>. január 1-jétől lépnek hatályba.</w:t>
      </w:r>
    </w:p>
    <w:p w:rsidR="00F24BDF" w:rsidRPr="00302A56" w:rsidRDefault="00F24BDF" w:rsidP="00F24BDF">
      <w:pPr>
        <w:jc w:val="both"/>
      </w:pPr>
    </w:p>
    <w:p w:rsidR="00F24BDF" w:rsidRPr="00302A56" w:rsidRDefault="00F24BDF" w:rsidP="00F24BDF">
      <w:pPr>
        <w:ind w:left="180" w:hanging="180"/>
        <w:jc w:val="both"/>
      </w:pPr>
      <w:r w:rsidRPr="00302A56">
        <w:rPr>
          <w:b/>
          <w:u w:val="single"/>
        </w:rPr>
        <w:t>Felelős:</w:t>
      </w:r>
      <w:r w:rsidRPr="00302A56">
        <w:t xml:space="preserve"> </w:t>
      </w:r>
      <w:r>
        <w:t xml:space="preserve">Harsányi László </w:t>
      </w:r>
      <w:proofErr w:type="gramStart"/>
      <w:r>
        <w:t>polgármester</w:t>
      </w:r>
      <w:r w:rsidRPr="00302A56">
        <w:tab/>
      </w:r>
      <w:r w:rsidRPr="00302A56">
        <w:tab/>
        <w:t xml:space="preserve">       </w:t>
      </w:r>
      <w:r w:rsidRPr="00302A56">
        <w:rPr>
          <w:b/>
          <w:u w:val="single"/>
        </w:rPr>
        <w:t>Határidő</w:t>
      </w:r>
      <w:proofErr w:type="gramEnd"/>
      <w:r w:rsidRPr="00302A56">
        <w:rPr>
          <w:b/>
          <w:u w:val="single"/>
        </w:rPr>
        <w:t>:</w:t>
      </w:r>
      <w:r>
        <w:t xml:space="preserve"> 2023.</w:t>
      </w:r>
      <w:r w:rsidRPr="00302A56">
        <w:t xml:space="preserve"> december 31.</w:t>
      </w:r>
    </w:p>
    <w:p w:rsidR="00F24BDF" w:rsidRPr="00302A56" w:rsidRDefault="00F24BDF" w:rsidP="00F24BDF">
      <w:pPr>
        <w:jc w:val="both"/>
      </w:pPr>
    </w:p>
    <w:p w:rsidR="002A3F27" w:rsidRPr="0040301C" w:rsidRDefault="002A3F27" w:rsidP="002A3F27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sectPr w:rsidR="002A3F27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54C" w:rsidRDefault="0027254C">
      <w:r>
        <w:separator/>
      </w:r>
    </w:p>
  </w:endnote>
  <w:endnote w:type="continuationSeparator" w:id="0">
    <w:p w:rsidR="0027254C" w:rsidRDefault="0027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24BDF">
      <w:rPr>
        <w:rStyle w:val="Oldalszm"/>
        <w:noProof/>
      </w:rPr>
      <w:t>2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54C" w:rsidRDefault="0027254C">
      <w:r>
        <w:separator/>
      </w:r>
    </w:p>
  </w:footnote>
  <w:footnote w:type="continuationSeparator" w:id="0">
    <w:p w:rsidR="0027254C" w:rsidRDefault="00272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0D70ED"/>
    <w:multiLevelType w:val="hybridMultilevel"/>
    <w:tmpl w:val="E174E290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5"/>
  </w:num>
  <w:num w:numId="2">
    <w:abstractNumId w:val="24"/>
  </w:num>
  <w:num w:numId="3">
    <w:abstractNumId w:val="24"/>
    <w:lvlOverride w:ilvl="0">
      <w:startOverride w:val="1"/>
    </w:lvlOverride>
  </w:num>
  <w:num w:numId="4">
    <w:abstractNumId w:val="17"/>
  </w:num>
  <w:num w:numId="5">
    <w:abstractNumId w:val="20"/>
  </w:num>
  <w:num w:numId="6">
    <w:abstractNumId w:val="23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6"/>
  </w:num>
  <w:num w:numId="12">
    <w:abstractNumId w:val="14"/>
  </w:num>
  <w:num w:numId="13">
    <w:abstractNumId w:val="11"/>
  </w:num>
  <w:num w:numId="14">
    <w:abstractNumId w:val="10"/>
  </w:num>
  <w:num w:numId="15">
    <w:abstractNumId w:val="21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254C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3F27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A57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4E57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24BDF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3B4A2-89E4-4584-B12B-85B7AC07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2023-12-13T14:10:00Z</dcterms:created>
  <dcterms:modified xsi:type="dcterms:W3CDTF">2023-12-13T14:11:00Z</dcterms:modified>
</cp:coreProperties>
</file>